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40" w:lineRule="exact"/>
        <w:rPr>
          <w:rFonts w:ascii="黑体" w:hAnsi="黑体" w:eastAsia="黑体"/>
          <w:snapToGrid w:val="0"/>
          <w:spacing w:val="10"/>
          <w:kern w:val="0"/>
          <w:sz w:val="32"/>
          <w:szCs w:val="32"/>
        </w:rPr>
      </w:pPr>
      <w:r>
        <w:rPr>
          <w:rFonts w:hint="eastAsia" w:ascii="黑体" w:hAnsi="黑体" w:eastAsia="黑体"/>
          <w:snapToGrid w:val="0"/>
          <w:spacing w:val="10"/>
          <w:kern w:val="0"/>
          <w:sz w:val="32"/>
          <w:szCs w:val="32"/>
        </w:rPr>
        <w:t>附件</w:t>
      </w:r>
      <w:r>
        <w:rPr>
          <w:rFonts w:ascii="黑体" w:hAnsi="黑体" w:eastAsia="黑体"/>
          <w:snapToGrid w:val="0"/>
          <w:spacing w:val="10"/>
          <w:kern w:val="0"/>
          <w:sz w:val="32"/>
          <w:szCs w:val="32"/>
        </w:rPr>
        <w:t>7</w:t>
      </w:r>
    </w:p>
    <w:p>
      <w:pPr>
        <w:adjustRightInd w:val="0"/>
        <w:snapToGrid w:val="0"/>
        <w:spacing w:line="440" w:lineRule="exact"/>
        <w:jc w:val="center"/>
        <w:rPr>
          <w:rFonts w:ascii="方正小标宋简体" w:hAnsi="宋体" w:eastAsia="方正小标宋简体"/>
          <w:bCs/>
          <w:snapToGrid w:val="0"/>
          <w:spacing w:val="12"/>
          <w:kern w:val="0"/>
          <w:sz w:val="44"/>
          <w:szCs w:val="44"/>
        </w:rPr>
      </w:pPr>
      <w:bookmarkStart w:id="0" w:name="_GoBack"/>
      <w:r>
        <w:rPr>
          <w:rFonts w:hint="eastAsia" w:ascii="方正小标宋简体" w:eastAsia="方正小标宋简体"/>
          <w:sz w:val="44"/>
          <w:szCs w:val="44"/>
        </w:rPr>
        <w:t>不予核准养老保险待遇决定书（范本）</w:t>
      </w:r>
      <w:bookmarkEnd w:id="0"/>
    </w:p>
    <w:p>
      <w:pPr>
        <w:adjustRightInd w:val="0"/>
        <w:snapToGrid w:val="0"/>
        <w:spacing w:line="440" w:lineRule="exact"/>
        <w:jc w:val="center"/>
        <w:rPr>
          <w:rFonts w:ascii="仿宋_GB2312" w:eastAsia="仿宋_GB2312"/>
          <w:snapToGrid w:val="0"/>
          <w:spacing w:val="12"/>
          <w:kern w:val="0"/>
          <w:sz w:val="32"/>
          <w:szCs w:val="32"/>
        </w:rPr>
      </w:pPr>
      <w:r>
        <w:rPr>
          <w:rFonts w:hint="eastAsia" w:ascii="仿宋_GB2312" w:eastAsia="仿宋_GB2312"/>
          <w:snapToGrid w:val="0"/>
          <w:spacing w:val="12"/>
          <w:kern w:val="0"/>
          <w:sz w:val="32"/>
          <w:szCs w:val="32"/>
        </w:rPr>
        <w:t>（病退）</w:t>
      </w:r>
    </w:p>
    <w:p>
      <w:pPr>
        <w:wordWrap w:val="0"/>
        <w:adjustRightInd w:val="0"/>
        <w:snapToGrid w:val="0"/>
        <w:spacing w:line="440" w:lineRule="exact"/>
        <w:jc w:val="right"/>
        <w:rPr>
          <w:rFonts w:ascii="仿宋_GB2312" w:hAnsi="宋体" w:eastAsia="仿宋_GB2312"/>
          <w:snapToGrid w:val="0"/>
          <w:spacing w:val="12"/>
          <w:kern w:val="0"/>
          <w:sz w:val="32"/>
          <w:szCs w:val="28"/>
        </w:rPr>
      </w:pPr>
      <w:r>
        <w:rPr>
          <w:rFonts w:hint="eastAsia" w:ascii="仿宋_GB2312" w:hAnsi="宋体" w:eastAsia="仿宋_GB2312"/>
          <w:snapToGrid w:val="0"/>
          <w:spacing w:val="12"/>
          <w:kern w:val="0"/>
          <w:sz w:val="32"/>
          <w:szCs w:val="28"/>
        </w:rPr>
        <w:t>中人社</w:t>
      </w:r>
      <w:r>
        <w:rPr>
          <w:rFonts w:ascii="仿宋_GB2312" w:hAnsi="宋体" w:eastAsia="仿宋_GB2312"/>
          <w:snapToGrid w:val="0"/>
          <w:spacing w:val="12"/>
          <w:kern w:val="0"/>
          <w:sz w:val="32"/>
          <w:szCs w:val="28"/>
        </w:rPr>
        <w:t>/</w:t>
      </w:r>
      <w:r>
        <w:rPr>
          <w:rFonts w:hint="eastAsia" w:ascii="仿宋_GB2312" w:hAnsi="宋体" w:eastAsia="仿宋_GB2312"/>
          <w:snapToGrid w:val="0"/>
          <w:spacing w:val="12"/>
          <w:kern w:val="0"/>
          <w:sz w:val="32"/>
          <w:szCs w:val="28"/>
        </w:rPr>
        <w:t>社保核决字〔</w:t>
      </w:r>
      <w:r>
        <w:rPr>
          <w:rFonts w:ascii="仿宋_GB2312" w:hAnsi="宋体" w:eastAsia="仿宋_GB2312"/>
          <w:snapToGrid w:val="0"/>
          <w:spacing w:val="12"/>
          <w:kern w:val="0"/>
          <w:sz w:val="32"/>
          <w:szCs w:val="28"/>
        </w:rPr>
        <w:t xml:space="preserve">  </w:t>
      </w:r>
      <w:r>
        <w:rPr>
          <w:rFonts w:hint="eastAsia" w:ascii="仿宋_GB2312" w:hAnsi="宋体" w:eastAsia="仿宋_GB2312"/>
          <w:snapToGrid w:val="0"/>
          <w:spacing w:val="12"/>
          <w:kern w:val="0"/>
          <w:sz w:val="32"/>
          <w:szCs w:val="28"/>
        </w:rPr>
        <w:t>〕</w:t>
      </w:r>
      <w:r>
        <w:rPr>
          <w:rFonts w:ascii="仿宋_GB2312" w:hAnsi="宋体" w:eastAsia="仿宋_GB2312"/>
          <w:snapToGrid w:val="0"/>
          <w:spacing w:val="12"/>
          <w:kern w:val="0"/>
          <w:sz w:val="32"/>
          <w:szCs w:val="28"/>
        </w:rPr>
        <w:t xml:space="preserve">    </w:t>
      </w:r>
      <w:r>
        <w:rPr>
          <w:rFonts w:hint="eastAsia" w:ascii="仿宋_GB2312" w:hAnsi="宋体" w:eastAsia="仿宋_GB2312"/>
          <w:snapToGrid w:val="0"/>
          <w:spacing w:val="12"/>
          <w:kern w:val="0"/>
          <w:sz w:val="32"/>
          <w:szCs w:val="28"/>
        </w:rPr>
        <w:t>号</w:t>
      </w:r>
    </w:p>
    <w:p>
      <w:pPr>
        <w:adjustRightInd w:val="0"/>
        <w:snapToGrid w:val="0"/>
        <w:spacing w:line="440" w:lineRule="exact"/>
        <w:jc w:val="right"/>
        <w:rPr>
          <w:rFonts w:ascii="仿宋_GB2312" w:eastAsia="仿宋_GB2312"/>
          <w:snapToGrid w:val="0"/>
          <w:spacing w:val="12"/>
          <w:kern w:val="0"/>
          <w:sz w:val="32"/>
          <w:szCs w:val="32"/>
        </w:rPr>
      </w:pPr>
    </w:p>
    <w:p>
      <w:pPr>
        <w:adjustRightInd w:val="0"/>
        <w:snapToGrid w:val="0"/>
        <w:spacing w:line="440" w:lineRule="exact"/>
        <w:rPr>
          <w:rFonts w:ascii="仿宋_GB2312" w:hAnsi="仿宋_GB2312" w:eastAsia="仿宋_GB2312"/>
          <w:snapToGrid w:val="0"/>
          <w:spacing w:val="12"/>
          <w:kern w:val="0"/>
          <w:sz w:val="32"/>
          <w:szCs w:val="32"/>
        </w:rPr>
      </w:pPr>
      <w:r>
        <w:rPr>
          <w:rFonts w:ascii="仿宋_GB2312" w:hAnsi="仿宋_GB2312" w:eastAsia="仿宋_GB2312"/>
          <w:snapToGrid w:val="0"/>
          <w:spacing w:val="12"/>
          <w:kern w:val="0"/>
          <w:sz w:val="32"/>
          <w:szCs w:val="32"/>
          <w:u w:val="single"/>
        </w:rPr>
        <w:t xml:space="preserve">    </w:t>
      </w:r>
      <w:r>
        <w:rPr>
          <w:rFonts w:hint="eastAsia" w:ascii="仿宋_GB2312" w:hAnsi="仿宋_GB2312" w:eastAsia="仿宋_GB2312"/>
          <w:snapToGrid w:val="0"/>
          <w:spacing w:val="12"/>
          <w:kern w:val="0"/>
          <w:sz w:val="32"/>
          <w:szCs w:val="32"/>
        </w:rPr>
        <w:t>：</w:t>
      </w:r>
    </w:p>
    <w:p>
      <w:pPr>
        <w:adjustRightInd w:val="0"/>
        <w:snapToGrid w:val="0"/>
        <w:spacing w:line="440" w:lineRule="exact"/>
        <w:ind w:firstLine="688" w:firstLineChars="200"/>
        <w:rPr>
          <w:rFonts w:ascii="仿宋_GB2312" w:eastAsia="仿宋_GB2312"/>
          <w:snapToGrid w:val="0"/>
          <w:spacing w:val="12"/>
          <w:kern w:val="0"/>
          <w:sz w:val="32"/>
          <w:szCs w:val="32"/>
        </w:rPr>
      </w:pPr>
      <w:r>
        <w:rPr>
          <w:rFonts w:hint="eastAsia" w:ascii="仿宋_GB2312" w:eastAsia="仿宋_GB2312"/>
          <w:snapToGrid w:val="0"/>
          <w:spacing w:val="12"/>
          <w:kern w:val="0"/>
          <w:sz w:val="32"/>
          <w:szCs w:val="32"/>
        </w:rPr>
        <w:t>你于</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年</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月</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日向本局申请办理非因工伤病提前退休，经审查，本局认为不具备批准条件。理由如下：</w:t>
      </w:r>
    </w:p>
    <w:p>
      <w:pPr>
        <w:adjustRightInd w:val="0"/>
        <w:snapToGrid w:val="0"/>
        <w:spacing w:line="440" w:lineRule="exact"/>
        <w:ind w:left="2" w:leftChars="1" w:firstLine="688" w:firstLineChars="200"/>
        <w:rPr>
          <w:rFonts w:ascii="仿宋_GB2312" w:eastAsia="仿宋_GB2312"/>
          <w:snapToGrid w:val="0"/>
          <w:spacing w:val="12"/>
          <w:kern w:val="0"/>
          <w:sz w:val="32"/>
          <w:szCs w:val="32"/>
        </w:rPr>
      </w:pPr>
      <w:r>
        <w:rPr>
          <w:rFonts w:hint="eastAsia" w:ascii="仿宋_GB2312" w:eastAsia="仿宋_GB2312"/>
          <w:snapToGrid w:val="0"/>
          <w:spacing w:val="12"/>
          <w:kern w:val="0"/>
          <w:sz w:val="32"/>
          <w:szCs w:val="32"/>
        </w:rPr>
        <w:t>据你的个人档案材料记载，你</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年</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月至</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年</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月在</w:t>
      </w:r>
      <w:r>
        <w:rPr>
          <w:rFonts w:ascii="仿宋_GB2312" w:eastAsia="仿宋_GB2312"/>
          <w:snapToGrid w:val="0"/>
          <w:spacing w:val="12"/>
          <w:kern w:val="0"/>
          <w:sz w:val="32"/>
          <w:szCs w:val="32"/>
          <w:u w:val="single"/>
        </w:rPr>
        <w:t xml:space="preserve">            </w:t>
      </w:r>
      <w:r>
        <w:rPr>
          <w:rFonts w:hint="eastAsia" w:ascii="仿宋_GB2312" w:eastAsia="仿宋_GB2312"/>
          <w:snapToGrid w:val="0"/>
          <w:spacing w:val="12"/>
          <w:kern w:val="0"/>
          <w:sz w:val="32"/>
          <w:szCs w:val="32"/>
        </w:rPr>
        <w:t>工作。</w:t>
      </w:r>
    </w:p>
    <w:p>
      <w:pPr>
        <w:adjustRightInd w:val="0"/>
        <w:snapToGrid w:val="0"/>
        <w:spacing w:line="440" w:lineRule="exact"/>
        <w:ind w:firstLine="688" w:firstLineChars="200"/>
        <w:rPr>
          <w:rFonts w:ascii="仿宋_GB2312" w:eastAsia="仿宋_GB2312"/>
          <w:snapToGrid w:val="0"/>
          <w:spacing w:val="12"/>
          <w:kern w:val="0"/>
          <w:sz w:val="32"/>
          <w:szCs w:val="32"/>
        </w:rPr>
      </w:pPr>
      <w:r>
        <w:rPr>
          <w:rFonts w:hint="eastAsia" w:ascii="仿宋_GB2312" w:eastAsia="仿宋_GB2312"/>
          <w:snapToGrid w:val="0"/>
          <w:spacing w:val="12"/>
          <w:kern w:val="0"/>
          <w:sz w:val="32"/>
          <w:szCs w:val="32"/>
        </w:rPr>
        <w:t>另据你提交的《非因工伤残或因病劳动能力鉴定书》（中劳伤病复鉴</w:t>
      </w:r>
      <w:r>
        <w:rPr>
          <w:rFonts w:hint="eastAsia" w:ascii="仿宋_GB2312" w:hAnsi="宋体" w:eastAsia="仿宋_GB2312"/>
          <w:snapToGrid w:val="0"/>
          <w:spacing w:val="12"/>
          <w:kern w:val="0"/>
          <w:sz w:val="32"/>
          <w:szCs w:val="32"/>
        </w:rPr>
        <w:t>〔</w:t>
      </w:r>
      <w:r>
        <w:rPr>
          <w:rFonts w:ascii="仿宋_GB2312" w:hAnsi="宋体" w:eastAsia="仿宋_GB2312"/>
          <w:snapToGrid w:val="0"/>
          <w:spacing w:val="12"/>
          <w:kern w:val="0"/>
          <w:sz w:val="32"/>
          <w:szCs w:val="32"/>
        </w:rPr>
        <w:t xml:space="preserve">   </w:t>
      </w:r>
      <w:r>
        <w:rPr>
          <w:rFonts w:hint="eastAsia" w:ascii="仿宋_GB2312" w:hAnsi="宋体" w:eastAsia="仿宋_GB2312"/>
          <w:snapToGrid w:val="0"/>
          <w:spacing w:val="12"/>
          <w:kern w:val="0"/>
          <w:sz w:val="32"/>
          <w:szCs w:val="32"/>
        </w:rPr>
        <w:t>〕</w:t>
      </w:r>
      <w:r>
        <w:rPr>
          <w:rFonts w:ascii="仿宋_GB2312" w:hAnsi="宋体" w:eastAsia="仿宋_GB2312"/>
          <w:snapToGrid w:val="0"/>
          <w:spacing w:val="12"/>
          <w:kern w:val="0"/>
          <w:sz w:val="32"/>
          <w:szCs w:val="32"/>
        </w:rPr>
        <w:t xml:space="preserve">   </w:t>
      </w:r>
      <w:r>
        <w:rPr>
          <w:rFonts w:hint="eastAsia" w:ascii="仿宋_GB2312" w:hAnsi="宋体" w:eastAsia="仿宋_GB2312"/>
          <w:snapToGrid w:val="0"/>
          <w:spacing w:val="12"/>
          <w:kern w:val="0"/>
          <w:sz w:val="32"/>
          <w:szCs w:val="32"/>
        </w:rPr>
        <w:t>号</w:t>
      </w:r>
      <w:r>
        <w:rPr>
          <w:rFonts w:hint="eastAsia" w:ascii="仿宋_GB2312" w:eastAsia="仿宋_GB2312"/>
          <w:snapToGrid w:val="0"/>
          <w:spacing w:val="12"/>
          <w:kern w:val="0"/>
          <w:sz w:val="32"/>
          <w:szCs w:val="32"/>
        </w:rPr>
        <w:t>），中山市劳动能力鉴定委员会对你的鉴定结论为“未达完全丧失劳动能力”。</w:t>
      </w:r>
    </w:p>
    <w:p>
      <w:pPr>
        <w:adjustRightInd w:val="0"/>
        <w:snapToGrid w:val="0"/>
        <w:spacing w:line="440" w:lineRule="exact"/>
        <w:ind w:firstLine="688" w:firstLineChars="200"/>
        <w:rPr>
          <w:rFonts w:ascii="仿宋_GB2312" w:hAnsi="仿宋_GB2312" w:eastAsia="仿宋_GB2312" w:cs="宋体"/>
          <w:snapToGrid w:val="0"/>
          <w:color w:val="000000"/>
          <w:spacing w:val="12"/>
          <w:kern w:val="0"/>
          <w:sz w:val="32"/>
          <w:szCs w:val="32"/>
        </w:rPr>
      </w:pPr>
      <w:r>
        <w:rPr>
          <w:rFonts w:hint="eastAsia" w:ascii="仿宋_GB2312" w:eastAsia="仿宋_GB2312"/>
          <w:snapToGrid w:val="0"/>
          <w:color w:val="000000"/>
          <w:spacing w:val="12"/>
          <w:kern w:val="0"/>
          <w:sz w:val="32"/>
        </w:rPr>
        <w:t>根据</w:t>
      </w:r>
      <w:r>
        <w:rPr>
          <w:rFonts w:hint="eastAsia" w:ascii="仿宋_GB2312" w:eastAsia="仿宋_GB2312"/>
          <w:sz w:val="32"/>
          <w:szCs w:val="32"/>
        </w:rPr>
        <w:t>《关于颁发国务院关于安置老弱病残干部的暂行办法和国务院关于工人退休、退职的暂行办法的通知》（国发〔</w:t>
      </w:r>
      <w:r>
        <w:rPr>
          <w:rFonts w:ascii="仿宋_GB2312" w:eastAsia="仿宋_GB2312"/>
          <w:sz w:val="32"/>
          <w:szCs w:val="32"/>
        </w:rPr>
        <w:t>1978</w:t>
      </w:r>
      <w:r>
        <w:rPr>
          <w:rFonts w:hint="eastAsia" w:ascii="仿宋_GB2312" w:eastAsia="仿宋_GB2312"/>
          <w:sz w:val="32"/>
          <w:szCs w:val="32"/>
        </w:rPr>
        <w:t>〕</w:t>
      </w:r>
      <w:r>
        <w:rPr>
          <w:rFonts w:ascii="仿宋_GB2312" w:eastAsia="仿宋_GB2312"/>
          <w:sz w:val="32"/>
          <w:szCs w:val="32"/>
        </w:rPr>
        <w:t>104</w:t>
      </w:r>
      <w:r>
        <w:rPr>
          <w:rFonts w:hint="eastAsia" w:ascii="仿宋_GB2312" w:eastAsia="仿宋_GB2312"/>
          <w:sz w:val="32"/>
          <w:szCs w:val="32"/>
        </w:rPr>
        <w:t>号）等</w:t>
      </w:r>
      <w:r>
        <w:rPr>
          <w:rFonts w:hint="eastAsia" w:ascii="仿宋_GB2312" w:eastAsia="仿宋_GB2312"/>
          <w:snapToGrid w:val="0"/>
          <w:color w:val="000000"/>
          <w:spacing w:val="12"/>
          <w:kern w:val="0"/>
          <w:sz w:val="32"/>
        </w:rPr>
        <w:t>有关规定，办理非因工伤病提前退休人员应为全民所有制和县以上集体企业的职工，且</w:t>
      </w:r>
      <w:r>
        <w:rPr>
          <w:rFonts w:hint="eastAsia" w:ascii="仿宋_GB2312" w:hAnsi="仿宋_GB2312" w:eastAsia="仿宋_GB2312"/>
          <w:snapToGrid w:val="0"/>
          <w:color w:val="000000"/>
          <w:spacing w:val="12"/>
          <w:kern w:val="0"/>
          <w:sz w:val="32"/>
        </w:rPr>
        <w:t>男年满五十周岁，女年满四十五周岁，连续工龄满十年，由医院证明，并经劳动鉴定委员会确认，完全丧失劳动能力的。</w:t>
      </w:r>
    </w:p>
    <w:p>
      <w:pPr>
        <w:adjustRightInd w:val="0"/>
        <w:snapToGrid w:val="0"/>
        <w:spacing w:line="440" w:lineRule="exact"/>
        <w:ind w:firstLine="688" w:firstLineChars="200"/>
        <w:rPr>
          <w:rFonts w:ascii="仿宋_GB2312" w:eastAsia="仿宋_GB2312"/>
          <w:snapToGrid w:val="0"/>
          <w:color w:val="000000"/>
          <w:spacing w:val="12"/>
          <w:kern w:val="0"/>
          <w:sz w:val="32"/>
          <w:szCs w:val="32"/>
        </w:rPr>
      </w:pPr>
      <w:r>
        <w:rPr>
          <w:rFonts w:hint="eastAsia" w:ascii="仿宋_GB2312" w:eastAsia="仿宋_GB2312"/>
          <w:snapToGrid w:val="0"/>
          <w:color w:val="000000"/>
          <w:spacing w:val="12"/>
          <w:kern w:val="0"/>
          <w:sz w:val="32"/>
          <w:szCs w:val="32"/>
        </w:rPr>
        <w:t>综上，虽你属于办理非因工伤病提前退休的人员范围，年满五十周岁，连续工龄满十年，但由于劳动能力鉴定结果为“未达完全丧失劳动能力</w:t>
      </w:r>
      <w:r>
        <w:rPr>
          <w:rFonts w:ascii="仿宋_GB2312" w:eastAsia="仿宋_GB2312"/>
          <w:snapToGrid w:val="0"/>
          <w:color w:val="000000"/>
          <w:spacing w:val="12"/>
          <w:kern w:val="0"/>
          <w:sz w:val="32"/>
          <w:szCs w:val="32"/>
        </w:rPr>
        <w:t>”</w:t>
      </w:r>
      <w:r>
        <w:rPr>
          <w:rFonts w:hint="eastAsia" w:ascii="仿宋_GB2312" w:eastAsia="仿宋_GB2312"/>
          <w:snapToGrid w:val="0"/>
          <w:color w:val="000000"/>
          <w:spacing w:val="12"/>
          <w:kern w:val="0"/>
          <w:sz w:val="32"/>
          <w:szCs w:val="32"/>
        </w:rPr>
        <w:t>，不符合办理提前退休条件，</w:t>
      </w:r>
      <w:r>
        <w:rPr>
          <w:rFonts w:hint="eastAsia" w:eastAsia="仿宋_GB2312"/>
          <w:snapToGrid w:val="0"/>
          <w:color w:val="000000"/>
          <w:spacing w:val="12"/>
          <w:kern w:val="0"/>
          <w:sz w:val="32"/>
          <w:szCs w:val="32"/>
        </w:rPr>
        <w:t>故</w:t>
      </w:r>
      <w:r>
        <w:rPr>
          <w:rFonts w:hint="eastAsia" w:ascii="仿宋_GB2312" w:eastAsia="仿宋_GB2312"/>
          <w:snapToGrid w:val="0"/>
          <w:color w:val="000000"/>
          <w:spacing w:val="12"/>
          <w:kern w:val="0"/>
          <w:sz w:val="32"/>
          <w:szCs w:val="32"/>
        </w:rPr>
        <w:t>本局决定不予核准。</w:t>
      </w:r>
    </w:p>
    <w:p>
      <w:pPr>
        <w:adjustRightInd w:val="0"/>
        <w:snapToGrid w:val="0"/>
        <w:spacing w:line="440" w:lineRule="exact"/>
        <w:ind w:firstLine="688" w:firstLineChars="200"/>
        <w:rPr>
          <w:rFonts w:ascii="仿宋_GB2312" w:eastAsia="仿宋_GB2312"/>
          <w:snapToGrid w:val="0"/>
          <w:spacing w:val="12"/>
          <w:kern w:val="0"/>
          <w:sz w:val="32"/>
          <w:szCs w:val="32"/>
        </w:rPr>
      </w:pPr>
      <w:r>
        <w:rPr>
          <w:rFonts w:hint="eastAsia" w:ascii="仿宋_GB2312" w:eastAsia="仿宋_GB2312"/>
          <w:snapToGrid w:val="0"/>
          <w:spacing w:val="12"/>
          <w:kern w:val="0"/>
          <w:sz w:val="32"/>
          <w:szCs w:val="32"/>
        </w:rPr>
        <w:t>如不服本决定，可在收到本决定书之日起</w:t>
      </w:r>
      <w:r>
        <w:rPr>
          <w:rFonts w:ascii="仿宋_GB2312" w:eastAsia="仿宋_GB2312"/>
          <w:snapToGrid w:val="0"/>
          <w:spacing w:val="12"/>
          <w:kern w:val="0"/>
          <w:sz w:val="32"/>
          <w:szCs w:val="32"/>
        </w:rPr>
        <w:t>60</w:t>
      </w:r>
      <w:r>
        <w:rPr>
          <w:rFonts w:hint="eastAsia" w:ascii="仿宋_GB2312" w:eastAsia="仿宋_GB2312"/>
          <w:snapToGrid w:val="0"/>
          <w:spacing w:val="12"/>
          <w:kern w:val="0"/>
          <w:sz w:val="32"/>
          <w:szCs w:val="32"/>
        </w:rPr>
        <w:t>日内向中山市人民政府</w:t>
      </w:r>
      <w:r>
        <w:rPr>
          <w:rFonts w:hint="eastAsia" w:ascii="仿宋_GB2312" w:eastAsia="仿宋_GB2312"/>
          <w:snapToGrid w:val="0"/>
          <w:spacing w:val="10"/>
          <w:kern w:val="0"/>
          <w:sz w:val="32"/>
          <w:szCs w:val="32"/>
        </w:rPr>
        <w:t>行政复议委员会</w:t>
      </w:r>
      <w:r>
        <w:rPr>
          <w:rFonts w:hint="eastAsia" w:ascii="仿宋_GB2312" w:eastAsia="仿宋_GB2312"/>
          <w:snapToGrid w:val="0"/>
          <w:spacing w:val="12"/>
          <w:kern w:val="0"/>
          <w:sz w:val="32"/>
          <w:szCs w:val="32"/>
        </w:rPr>
        <w:t>申请行政复议，或于</w:t>
      </w:r>
      <w:r>
        <w:rPr>
          <w:rFonts w:ascii="仿宋_GB2312" w:eastAsia="仿宋_GB2312"/>
          <w:snapToGrid w:val="0"/>
          <w:spacing w:val="12"/>
          <w:kern w:val="0"/>
          <w:sz w:val="32"/>
          <w:szCs w:val="32"/>
        </w:rPr>
        <w:t>6</w:t>
      </w:r>
      <w:r>
        <w:rPr>
          <w:rFonts w:hint="eastAsia" w:ascii="仿宋_GB2312" w:eastAsia="仿宋_GB2312"/>
          <w:snapToGrid w:val="0"/>
          <w:spacing w:val="12"/>
          <w:kern w:val="0"/>
          <w:sz w:val="32"/>
          <w:szCs w:val="32"/>
        </w:rPr>
        <w:t>个月内直接向中山市第一人民法院提起行政诉讼。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2D611B"/>
    <w:rsid w:val="542D61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市劳动和社会保障局</Company>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2019-01-25T09:29:00Z</dcterms:created>
  <dc:creator>符文馨</dc:creator>
  <cp:lastModifiedBy>符文馨</cp:lastModifiedBy>
  <dcterms:modified xsi:type="dcterms:W3CDTF">2019-01-25T09:30:15Z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